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6E1C" w14:textId="77777777" w:rsidR="00A37829" w:rsidRDefault="00A37829" w:rsidP="00A37829">
      <w:pPr>
        <w:spacing w:line="144" w:lineRule="auto"/>
        <w:jc w:val="right"/>
      </w:pPr>
      <w:bookmarkStart w:id="0" w:name="_Hlk156390421"/>
    </w:p>
    <w:p w14:paraId="2688A284" w14:textId="77777777" w:rsidR="00A37829" w:rsidRDefault="00A37829" w:rsidP="00A37829">
      <w:pPr>
        <w:spacing w:line="144" w:lineRule="auto"/>
        <w:jc w:val="right"/>
      </w:pPr>
    </w:p>
    <w:p w14:paraId="679F6874" w14:textId="77777777" w:rsidR="00A37829" w:rsidRDefault="00A37829" w:rsidP="00A37829">
      <w:pPr>
        <w:spacing w:line="144" w:lineRule="auto"/>
        <w:jc w:val="right"/>
      </w:pPr>
    </w:p>
    <w:p w14:paraId="22837756" w14:textId="3D69FFD7" w:rsidR="00A37829" w:rsidRPr="00A37829" w:rsidRDefault="00A37829" w:rsidP="00A37829">
      <w:pPr>
        <w:spacing w:after="0" w:line="240" w:lineRule="auto"/>
        <w:jc w:val="right"/>
        <w:rPr>
          <w:sz w:val="28"/>
          <w:szCs w:val="28"/>
        </w:rPr>
      </w:pPr>
      <w:r w:rsidRPr="00A37829">
        <w:rPr>
          <w:sz w:val="28"/>
          <w:szCs w:val="28"/>
        </w:rPr>
        <w:t>Communiqué de presse</w:t>
      </w:r>
    </w:p>
    <w:p w14:paraId="2885EB0C" w14:textId="77777777" w:rsidR="00A37829" w:rsidRPr="00A37829" w:rsidRDefault="00A37829" w:rsidP="00A37829">
      <w:pPr>
        <w:spacing w:after="0" w:line="240" w:lineRule="auto"/>
        <w:jc w:val="right"/>
        <w:rPr>
          <w:sz w:val="28"/>
          <w:szCs w:val="28"/>
        </w:rPr>
      </w:pPr>
      <w:r w:rsidRPr="00A37829">
        <w:rPr>
          <w:sz w:val="28"/>
          <w:szCs w:val="28"/>
        </w:rPr>
        <w:t xml:space="preserve"> Pour diffusion immédiate</w:t>
      </w:r>
    </w:p>
    <w:p w14:paraId="344251F4" w14:textId="77777777" w:rsidR="00A37829" w:rsidRDefault="00A37829" w:rsidP="00A37829">
      <w:pPr>
        <w:jc w:val="center"/>
        <w:rPr>
          <w:b/>
          <w:bCs/>
          <w:sz w:val="28"/>
          <w:szCs w:val="28"/>
        </w:rPr>
      </w:pPr>
    </w:p>
    <w:p w14:paraId="3496E5CE" w14:textId="7171C292" w:rsidR="00A37829" w:rsidRPr="003C73B0" w:rsidRDefault="00A37829" w:rsidP="00A37829">
      <w:pPr>
        <w:jc w:val="center"/>
        <w:rPr>
          <w:b/>
          <w:bCs/>
          <w:sz w:val="28"/>
          <w:szCs w:val="28"/>
        </w:rPr>
      </w:pPr>
      <w:r w:rsidRPr="003C73B0">
        <w:rPr>
          <w:b/>
          <w:bCs/>
          <w:sz w:val="28"/>
          <w:szCs w:val="28"/>
        </w:rPr>
        <w:t>Les locataires autorisés à refuser la hausse de loyer et demeurer dans le logement</w:t>
      </w:r>
    </w:p>
    <w:p w14:paraId="1BFADD64" w14:textId="77777777" w:rsidR="00A37829" w:rsidRDefault="00A37829" w:rsidP="00A37829">
      <w:pPr>
        <w:jc w:val="right"/>
      </w:pPr>
    </w:p>
    <w:p w14:paraId="020BF8BC" w14:textId="553020A0" w:rsidR="00A37829" w:rsidRPr="00D86D30" w:rsidRDefault="00A37829" w:rsidP="00A37829">
      <w:pPr>
        <w:spacing w:line="240" w:lineRule="auto"/>
        <w:jc w:val="both"/>
      </w:pPr>
      <w:r w:rsidRPr="00D86D30">
        <w:rPr>
          <w:b/>
          <w:bCs/>
        </w:rPr>
        <w:t xml:space="preserve">Lévis, </w:t>
      </w:r>
      <w:r>
        <w:rPr>
          <w:b/>
          <w:bCs/>
        </w:rPr>
        <w:t xml:space="preserve">17 janvier 2024 </w:t>
      </w:r>
      <w:r w:rsidRPr="00D86D30">
        <w:rPr>
          <w:b/>
          <w:bCs/>
        </w:rPr>
        <w:t xml:space="preserve">- </w:t>
      </w:r>
      <w:r w:rsidRPr="00D86D30">
        <w:t xml:space="preserve">Nombreux sont </w:t>
      </w:r>
      <w:r>
        <w:t xml:space="preserve">les </w:t>
      </w:r>
      <w:r w:rsidRPr="00D86D30">
        <w:t>locataires ayant un bail de 12 mois ou plus qui recevront dans les prochains jours ou</w:t>
      </w:r>
      <w:r>
        <w:t xml:space="preserve"> les prochaines</w:t>
      </w:r>
      <w:r w:rsidRPr="00D86D30">
        <w:t xml:space="preserve"> semaines un avis d’augmentation de loyer de la part de leur propriétaire. Le locataire disposera alors de </w:t>
      </w:r>
      <w:r w:rsidRPr="00D86D30">
        <w:rPr>
          <w:b/>
          <w:bCs/>
        </w:rPr>
        <w:t>30 jours</w:t>
      </w:r>
      <w:r w:rsidRPr="00D86D30">
        <w:t xml:space="preserve"> pour accepter ou refuser la hausse qui leur </w:t>
      </w:r>
      <w:r>
        <w:t>sera</w:t>
      </w:r>
      <w:r w:rsidRPr="00D86D30">
        <w:t xml:space="preserve"> proposée.</w:t>
      </w:r>
    </w:p>
    <w:p w14:paraId="2051E8A4" w14:textId="77777777" w:rsidR="00A37829" w:rsidRPr="00D86D30" w:rsidRDefault="00A37829" w:rsidP="00A37829">
      <w:pPr>
        <w:spacing w:line="240" w:lineRule="auto"/>
        <w:jc w:val="both"/>
      </w:pPr>
    </w:p>
    <w:p w14:paraId="015692BB" w14:textId="2444D19F" w:rsidR="00A37829" w:rsidRPr="00D86D30" w:rsidRDefault="00A37829" w:rsidP="00A37829">
      <w:pPr>
        <w:spacing w:line="240" w:lineRule="auto"/>
        <w:jc w:val="both"/>
      </w:pPr>
      <w:r>
        <w:t xml:space="preserve">La loi permet aux locataires qui jugent la hausse de loyer abusive de refuser l’augmentation et de demeurer dans leur logement. Pour </w:t>
      </w:r>
      <w:r>
        <w:t xml:space="preserve">les </w:t>
      </w:r>
      <w:r>
        <w:t>aider à évaluer si la hausse est raisonnable, le Tribunal administratif du logement (TAL) met à la disposition des locataires des indices du calcul de la hausse de loyer, de même qu’un outil de calcul qui tient compte de la variation des taxes, des assurances, des améliorations majeures ainsi que de l’ensemble des coûts d’exploitation de l’immeuble concerné.</w:t>
      </w:r>
    </w:p>
    <w:p w14:paraId="7147CE6C" w14:textId="77777777" w:rsidR="00A37829" w:rsidRPr="00D86D30" w:rsidRDefault="00A37829" w:rsidP="00A37829">
      <w:pPr>
        <w:spacing w:line="240" w:lineRule="auto"/>
        <w:jc w:val="both"/>
      </w:pPr>
    </w:p>
    <w:p w14:paraId="6AC6F1CE" w14:textId="06A5F619" w:rsidR="00A37829" w:rsidRPr="00D86D30" w:rsidRDefault="00A37829" w:rsidP="00A37829">
      <w:pPr>
        <w:spacing w:line="240" w:lineRule="auto"/>
        <w:jc w:val="both"/>
      </w:pPr>
      <w:r w:rsidRPr="00D86D30">
        <w:t xml:space="preserve">Conformément au </w:t>
      </w:r>
      <w:r w:rsidRPr="00D86D30">
        <w:rPr>
          <w:i/>
          <w:iCs/>
        </w:rPr>
        <w:t xml:space="preserve">Règlement sur les critères de fixation de loyer, </w:t>
      </w:r>
      <w:r w:rsidRPr="00D86D30">
        <w:t xml:space="preserve">le TAL a annoncé le </w:t>
      </w:r>
      <w:r>
        <w:t xml:space="preserve">16 janvier 2024 </w:t>
      </w:r>
      <w:r w:rsidRPr="00D86D30">
        <w:t>dernier que l’indice d’augmentation de loyer pour l’année courante se situe à</w:t>
      </w:r>
      <w:r>
        <w:t xml:space="preserve"> 4</w:t>
      </w:r>
      <w:r>
        <w:t xml:space="preserve"> </w:t>
      </w:r>
      <w:r>
        <w:t>%</w:t>
      </w:r>
      <w:r w:rsidRPr="00D86D30">
        <w:t xml:space="preserve"> pour un logement chauffé par le locataire. Lorsque le paiement du chauffage du logement </w:t>
      </w:r>
      <w:r>
        <w:t xml:space="preserve">à l’électricité </w:t>
      </w:r>
      <w:r w:rsidRPr="00D86D30">
        <w:t xml:space="preserve">est assumé par le propriétaire, la hausse suggérée est </w:t>
      </w:r>
      <w:r>
        <w:t>également</w:t>
      </w:r>
      <w:r w:rsidRPr="00D86D30">
        <w:t xml:space="preserve"> de </w:t>
      </w:r>
      <w:r>
        <w:t>4</w:t>
      </w:r>
      <w:r>
        <w:t xml:space="preserve"> </w:t>
      </w:r>
      <w:r w:rsidRPr="00D86D30">
        <w:t xml:space="preserve">%. Les pourcentages diminuent lorsqu’il est question de chauffage au gaz et au mazout. Ils se situent respectivement à </w:t>
      </w:r>
      <w:r>
        <w:t>3,3</w:t>
      </w:r>
      <w:r>
        <w:t xml:space="preserve"> </w:t>
      </w:r>
      <w:r w:rsidRPr="00D86D30">
        <w:t xml:space="preserve">% et </w:t>
      </w:r>
      <w:r>
        <w:t>1,6</w:t>
      </w:r>
      <w:r>
        <w:t xml:space="preserve"> </w:t>
      </w:r>
      <w:r w:rsidRPr="00D86D30">
        <w:t>%.</w:t>
      </w:r>
    </w:p>
    <w:p w14:paraId="6D3758DB" w14:textId="77777777" w:rsidR="00A37829" w:rsidRPr="00D86D30" w:rsidRDefault="00A37829" w:rsidP="00A37829">
      <w:pPr>
        <w:spacing w:line="240" w:lineRule="auto"/>
        <w:jc w:val="both"/>
      </w:pPr>
    </w:p>
    <w:p w14:paraId="7F58AE7C" w14:textId="77777777" w:rsidR="00A37829" w:rsidRPr="00D86D30" w:rsidRDefault="00A37829" w:rsidP="00A37829">
      <w:pPr>
        <w:spacing w:line="240" w:lineRule="auto"/>
        <w:jc w:val="both"/>
      </w:pPr>
      <w:r w:rsidRPr="00D86D30">
        <w:t>Not</w:t>
      </w:r>
      <w:r>
        <w:t>ez</w:t>
      </w:r>
      <w:r w:rsidRPr="00D86D30">
        <w:t xml:space="preserve"> que les indices d’augmentation de loyer ne sont qu’à titre de référence. Un propriétaire n’est pas tenu de s’y conformer. Ils sont établis en fonction des indices de prix à la consommation publiés par Statistiques Canada.</w:t>
      </w:r>
    </w:p>
    <w:p w14:paraId="082ABEAA" w14:textId="77777777" w:rsidR="00A37829" w:rsidRPr="00D86D30" w:rsidRDefault="00A37829" w:rsidP="00A37829">
      <w:pPr>
        <w:spacing w:line="240" w:lineRule="auto"/>
        <w:jc w:val="both"/>
      </w:pPr>
    </w:p>
    <w:p w14:paraId="6AE13DB9" w14:textId="6688A2CD" w:rsidR="00A37829" w:rsidRPr="00D86D30" w:rsidRDefault="00A37829" w:rsidP="00A37829">
      <w:pPr>
        <w:spacing w:line="240" w:lineRule="auto"/>
        <w:jc w:val="both"/>
      </w:pPr>
      <w:r w:rsidRPr="00D86D30">
        <w:t xml:space="preserve">Un locateur qui souhaite augmenter le loyer doit </w:t>
      </w:r>
      <w:r>
        <w:t>obligatoirement</w:t>
      </w:r>
      <w:r w:rsidRPr="00D86D30">
        <w:t xml:space="preserve"> transmettre au locataire un avis</w:t>
      </w:r>
      <w:r>
        <w:t xml:space="preserve"> écrit</w:t>
      </w:r>
      <w:r w:rsidRPr="00D86D30">
        <w:t xml:space="preserve"> de changement au bail. Pour être valide, la décision du locataire doit</w:t>
      </w:r>
      <w:r>
        <w:t>,</w:t>
      </w:r>
      <w:r w:rsidRPr="00D86D30">
        <w:t xml:space="preserve"> quant à elle</w:t>
      </w:r>
      <w:r>
        <w:t>,</w:t>
      </w:r>
      <w:r w:rsidRPr="00D86D30">
        <w:t xml:space="preserve"> être transmise au propriétaire dans les délais prescrits.</w:t>
      </w:r>
    </w:p>
    <w:p w14:paraId="5E09C45D" w14:textId="77777777" w:rsidR="00A37829" w:rsidRDefault="00A37829" w:rsidP="00A37829">
      <w:pPr>
        <w:spacing w:line="240" w:lineRule="auto"/>
        <w:jc w:val="both"/>
      </w:pPr>
    </w:p>
    <w:p w14:paraId="3D09201E" w14:textId="77777777" w:rsidR="00A37829" w:rsidRDefault="00A37829" w:rsidP="00A37829">
      <w:pPr>
        <w:spacing w:line="240" w:lineRule="auto"/>
        <w:jc w:val="both"/>
      </w:pPr>
    </w:p>
    <w:p w14:paraId="3290BE25" w14:textId="77777777" w:rsidR="00A37829" w:rsidRDefault="00A37829" w:rsidP="00A37829">
      <w:pPr>
        <w:spacing w:line="240" w:lineRule="auto"/>
        <w:jc w:val="both"/>
        <w:rPr>
          <w:b/>
          <w:bCs/>
        </w:rPr>
      </w:pPr>
    </w:p>
    <w:p w14:paraId="37BEFBD4" w14:textId="22DA7A40" w:rsidR="00A37829" w:rsidRPr="00D86D30" w:rsidRDefault="00A37829" w:rsidP="00A37829">
      <w:pPr>
        <w:spacing w:line="240" w:lineRule="auto"/>
        <w:jc w:val="both"/>
        <w:rPr>
          <w:b/>
          <w:bCs/>
        </w:rPr>
      </w:pPr>
      <w:r w:rsidRPr="00D86D30">
        <w:rPr>
          <w:b/>
          <w:bCs/>
        </w:rPr>
        <w:t>Soyez attentifs aux informations inscrites sur l’avis d’augmentation.</w:t>
      </w:r>
    </w:p>
    <w:p w14:paraId="34CFB7E7" w14:textId="77777777" w:rsidR="00A37829" w:rsidRPr="00D86D30" w:rsidRDefault="00A37829" w:rsidP="00A37829">
      <w:pPr>
        <w:spacing w:line="240" w:lineRule="auto"/>
        <w:jc w:val="both"/>
      </w:pPr>
      <w:r w:rsidRPr="00D86D30">
        <w:t xml:space="preserve">Puisque le modèle d’avis aux locataires proposé par le TAL n’est pas obligatoire, certains propriétaires composent leur propre avis et choisissent de </w:t>
      </w:r>
      <w:r>
        <w:t xml:space="preserve">ne </w:t>
      </w:r>
      <w:r w:rsidRPr="00D86D30">
        <w:t>proposer que deux des trois options de réponse dont dispose le locataire soit :</w:t>
      </w:r>
    </w:p>
    <w:p w14:paraId="1FCEE220" w14:textId="75DB638F" w:rsidR="00A37829" w:rsidRPr="00D86D30" w:rsidRDefault="00A37829" w:rsidP="00A37829">
      <w:pPr>
        <w:pStyle w:val="Paragraphedeliste"/>
        <w:numPr>
          <w:ilvl w:val="0"/>
          <w:numId w:val="2"/>
        </w:numPr>
        <w:spacing w:line="240" w:lineRule="auto"/>
        <w:jc w:val="both"/>
      </w:pPr>
      <w:proofErr w:type="gramStart"/>
      <w:r w:rsidRPr="00D86D30">
        <w:t>accepter</w:t>
      </w:r>
      <w:proofErr w:type="gramEnd"/>
      <w:r w:rsidRPr="00D86D30">
        <w:t xml:space="preserve"> le renouvellement du bail avec ses modifications ;</w:t>
      </w:r>
    </w:p>
    <w:p w14:paraId="5EC5AADB" w14:textId="0C50A3F5" w:rsidR="00A37829" w:rsidRPr="00D86D30" w:rsidRDefault="00A37829" w:rsidP="00A37829">
      <w:pPr>
        <w:pStyle w:val="Paragraphedeliste"/>
        <w:numPr>
          <w:ilvl w:val="0"/>
          <w:numId w:val="2"/>
        </w:numPr>
        <w:spacing w:line="240" w:lineRule="auto"/>
        <w:jc w:val="both"/>
      </w:pPr>
      <w:proofErr w:type="gramStart"/>
      <w:r w:rsidRPr="00D86D30">
        <w:t>refuser</w:t>
      </w:r>
      <w:proofErr w:type="gramEnd"/>
      <w:r w:rsidRPr="00D86D30">
        <w:t xml:space="preserve"> et déménager à la fin du bail ;</w:t>
      </w:r>
    </w:p>
    <w:p w14:paraId="60388D77" w14:textId="669EBBE5" w:rsidR="00A37829" w:rsidRDefault="00A37829" w:rsidP="00A37829">
      <w:pPr>
        <w:pStyle w:val="Paragraphedeliste"/>
        <w:numPr>
          <w:ilvl w:val="0"/>
          <w:numId w:val="2"/>
        </w:numPr>
        <w:spacing w:line="240" w:lineRule="auto"/>
        <w:jc w:val="both"/>
      </w:pPr>
      <w:proofErr w:type="gramStart"/>
      <w:r w:rsidRPr="00D86D30">
        <w:t>refuser</w:t>
      </w:r>
      <w:proofErr w:type="gramEnd"/>
      <w:r w:rsidRPr="00D86D30">
        <w:t xml:space="preserve"> la hausse de loyer et demeurer dans le logement.</w:t>
      </w:r>
      <w:r>
        <w:t xml:space="preserve"> (Cette option-ci n’est souvent pas inscrite.)</w:t>
      </w:r>
    </w:p>
    <w:p w14:paraId="491A385A" w14:textId="77777777" w:rsidR="00A37829" w:rsidRDefault="00A37829" w:rsidP="00A37829">
      <w:pPr>
        <w:spacing w:line="240" w:lineRule="auto"/>
        <w:jc w:val="both"/>
        <w:rPr>
          <w:b/>
          <w:bCs/>
          <w:i/>
          <w:iCs/>
        </w:rPr>
      </w:pPr>
    </w:p>
    <w:p w14:paraId="7497FC5F" w14:textId="47E22109" w:rsidR="00A37829" w:rsidRPr="00A37829" w:rsidRDefault="00A37829" w:rsidP="00A37829">
      <w:pPr>
        <w:spacing w:line="240" w:lineRule="auto"/>
        <w:jc w:val="both"/>
        <w:rPr>
          <w:b/>
          <w:bCs/>
          <w:i/>
          <w:iCs/>
        </w:rPr>
      </w:pPr>
      <w:r w:rsidRPr="00A37829">
        <w:rPr>
          <w:b/>
          <w:bCs/>
          <w:i/>
          <w:iCs/>
        </w:rPr>
        <w:t xml:space="preserve">Espace Finances est un organisme d’éducation et d’intervention dans les domaines du budget, de l’endettement et de la consommation. Elle travaille à défendre les droits des consommatrices et consommateurs. </w:t>
      </w:r>
    </w:p>
    <w:p w14:paraId="43672574" w14:textId="77777777" w:rsidR="00A37829" w:rsidRDefault="00A37829" w:rsidP="00A37829">
      <w:pPr>
        <w:spacing w:line="240" w:lineRule="auto"/>
        <w:jc w:val="both"/>
        <w:rPr>
          <w:i/>
          <w:iCs/>
        </w:rPr>
      </w:pPr>
    </w:p>
    <w:p w14:paraId="67149AC5" w14:textId="77777777" w:rsidR="00A37829" w:rsidRDefault="00A37829" w:rsidP="00A37829">
      <w:pPr>
        <w:spacing w:after="0" w:line="240" w:lineRule="auto"/>
        <w:jc w:val="both"/>
      </w:pPr>
      <w:r>
        <w:t>Emy Fortier – Intervenante au service d’aide et droits des locataires</w:t>
      </w:r>
    </w:p>
    <w:p w14:paraId="1C826A49" w14:textId="77777777" w:rsidR="00A37829" w:rsidRDefault="00A37829" w:rsidP="00A37829">
      <w:pPr>
        <w:spacing w:after="0" w:line="240" w:lineRule="auto"/>
        <w:jc w:val="both"/>
      </w:pPr>
      <w:hyperlink r:id="rId8" w:history="1">
        <w:r w:rsidRPr="00B057CC">
          <w:rPr>
            <w:rStyle w:val="Lienhypertexte"/>
          </w:rPr>
          <w:t>e.fortier@espacefinances.ca</w:t>
        </w:r>
      </w:hyperlink>
    </w:p>
    <w:p w14:paraId="52342984" w14:textId="6E9A7E43" w:rsidR="00A37829" w:rsidRDefault="00A37829" w:rsidP="00A37829">
      <w:pPr>
        <w:spacing w:after="0" w:line="240" w:lineRule="auto"/>
        <w:jc w:val="both"/>
      </w:pPr>
      <w:r>
        <w:t>Espace Finances</w:t>
      </w:r>
    </w:p>
    <w:p w14:paraId="3629933B" w14:textId="77777777" w:rsidR="00A37829" w:rsidRDefault="00A37829" w:rsidP="00A37829">
      <w:pPr>
        <w:spacing w:after="0" w:line="240" w:lineRule="auto"/>
        <w:jc w:val="both"/>
      </w:pPr>
      <w:r>
        <w:t>Tél : (418) 835-6633</w:t>
      </w:r>
    </w:p>
    <w:p w14:paraId="740215F2" w14:textId="77777777" w:rsidR="00A37829" w:rsidRDefault="00A37829" w:rsidP="00A37829">
      <w:pPr>
        <w:spacing w:after="0" w:line="240" w:lineRule="auto"/>
        <w:jc w:val="both"/>
      </w:pPr>
      <w:r>
        <w:t>Sans frais : (1 877) 835-6633</w:t>
      </w:r>
    </w:p>
    <w:p w14:paraId="0F10EB1D" w14:textId="77777777" w:rsidR="00A37829" w:rsidRPr="0040174E" w:rsidRDefault="00A37829" w:rsidP="00A37829">
      <w:pPr>
        <w:spacing w:after="0" w:line="240" w:lineRule="auto"/>
        <w:jc w:val="both"/>
      </w:pPr>
      <w:r>
        <w:t>www.espacefinances.ca</w:t>
      </w:r>
      <w:bookmarkEnd w:id="0"/>
    </w:p>
    <w:p w14:paraId="69A4B67C" w14:textId="771D24C7" w:rsidR="00A37829" w:rsidRPr="00A37829" w:rsidRDefault="00A37829" w:rsidP="00A37829">
      <w:pPr>
        <w:rPr>
          <w:rFonts w:ascii="Circe Slab C" w:hAnsi="Circe Slab C"/>
        </w:rPr>
      </w:pPr>
    </w:p>
    <w:sectPr w:rsidR="00A37829" w:rsidRPr="00A37829" w:rsidSect="00305F6C">
      <w:headerReference w:type="default" r:id="rId9"/>
      <w:footerReference w:type="default" r:id="rId10"/>
      <w:pgSz w:w="12240" w:h="15840"/>
      <w:pgMar w:top="1594" w:right="900" w:bottom="1440" w:left="851" w:header="851"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E1B8" w14:textId="77777777" w:rsidR="004E2EB5" w:rsidRDefault="004E2EB5" w:rsidP="004E2EB5">
      <w:pPr>
        <w:spacing w:after="0" w:line="240" w:lineRule="auto"/>
      </w:pPr>
      <w:r>
        <w:separator/>
      </w:r>
    </w:p>
  </w:endnote>
  <w:endnote w:type="continuationSeparator" w:id="0">
    <w:p w14:paraId="1B06F243" w14:textId="77777777" w:rsidR="004E2EB5" w:rsidRDefault="004E2EB5" w:rsidP="004E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pa-Bold">
    <w:altName w:val="Calibri"/>
    <w:panose1 w:val="02000000000000000000"/>
    <w:charset w:val="00"/>
    <w:family w:val="auto"/>
    <w:pitch w:val="variable"/>
    <w:sig w:usb0="00000007" w:usb1="00000000" w:usb2="00000000" w:usb3="00000000" w:csb0="00000093" w:csb1="00000000"/>
  </w:font>
  <w:font w:name="Circe Slab A">
    <w:altName w:val="Cambria"/>
    <w:panose1 w:val="00000000000000000000"/>
    <w:charset w:val="00"/>
    <w:family w:val="roman"/>
    <w:notTrueType/>
    <w:pitch w:val="variable"/>
    <w:sig w:usb0="00000001" w:usb1="5000606B" w:usb2="00000020" w:usb3="00000000" w:csb0="00000097" w:csb1="00000000"/>
  </w:font>
  <w:font w:name="Circe Slab C">
    <w:panose1 w:val="02060502050203020203"/>
    <w:charset w:val="00"/>
    <w:family w:val="roman"/>
    <w:pitch w:val="variable"/>
    <w:sig w:usb0="A00002FF" w:usb1="5000606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83"/>
      <w:gridCol w:w="3396"/>
    </w:tblGrid>
    <w:tr w:rsidR="00E66352" w14:paraId="4F5DC8FF" w14:textId="77777777" w:rsidTr="00E66352">
      <w:trPr>
        <w:trHeight w:val="413"/>
      </w:trPr>
      <w:tc>
        <w:tcPr>
          <w:tcW w:w="7083" w:type="dxa"/>
        </w:tcPr>
        <w:p w14:paraId="12E4337F" w14:textId="77777777" w:rsidR="00E66352" w:rsidRDefault="00E66352" w:rsidP="00E66352">
          <w:pPr>
            <w:pStyle w:val="Titre"/>
          </w:pPr>
          <w:r>
            <w:rPr>
              <w:noProof/>
            </w:rPr>
            <w:drawing>
              <wp:anchor distT="0" distB="0" distL="0" distR="0" simplePos="0" relativeHeight="251661312" behindDoc="0" locked="0" layoutInCell="1" allowOverlap="1" wp14:anchorId="584A6930" wp14:editId="39B24136">
                <wp:simplePos x="0" y="0"/>
                <wp:positionH relativeFrom="page">
                  <wp:posOffset>133350</wp:posOffset>
                </wp:positionH>
                <wp:positionV relativeFrom="paragraph">
                  <wp:posOffset>78740</wp:posOffset>
                </wp:positionV>
                <wp:extent cx="383717" cy="86626"/>
                <wp:effectExtent l="0" t="0" r="0" b="8890"/>
                <wp:wrapNone/>
                <wp:docPr id="13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 cstate="print"/>
                        <a:stretch>
                          <a:fillRect/>
                        </a:stretch>
                      </pic:blipFill>
                      <pic:spPr>
                        <a:xfrm>
                          <a:off x="0" y="0"/>
                          <a:ext cx="383717" cy="86626"/>
                        </a:xfrm>
                        <a:prstGeom prst="rect">
                          <a:avLst/>
                        </a:prstGeom>
                      </pic:spPr>
                    </pic:pic>
                  </a:graphicData>
                </a:graphic>
              </wp:anchor>
            </w:drawing>
          </w:r>
          <w:r>
            <w:rPr>
              <w:color w:val="231F20"/>
              <w:spacing w:val="-4"/>
            </w:rPr>
            <w:t xml:space="preserve">espacefinances.ca                                                                            </w:t>
          </w:r>
        </w:p>
        <w:p w14:paraId="57984B9A" w14:textId="77777777" w:rsidR="00E66352" w:rsidRDefault="00E66352">
          <w:pPr>
            <w:pStyle w:val="Pieddepage"/>
          </w:pPr>
        </w:p>
      </w:tc>
      <w:tc>
        <w:tcPr>
          <w:tcW w:w="3396" w:type="dxa"/>
        </w:tcPr>
        <w:p w14:paraId="08994331" w14:textId="77777777" w:rsidR="00E66352" w:rsidRPr="00E66352" w:rsidRDefault="00E66352" w:rsidP="00E66352">
          <w:pPr>
            <w:spacing w:before="60" w:after="40"/>
            <w:ind w:left="119"/>
            <w:rPr>
              <w:rFonts w:ascii="Europa-Bold" w:hAnsi="Europa-Bold"/>
              <w:b/>
              <w:sz w:val="18"/>
            </w:rPr>
          </w:pPr>
          <w:r w:rsidRPr="00E66352">
            <w:rPr>
              <w:rFonts w:ascii="Europa-Bold" w:hAnsi="Europa-Bold"/>
              <w:b/>
              <w:color w:val="231F20"/>
              <w:sz w:val="18"/>
            </w:rPr>
            <w:t>418</w:t>
          </w:r>
          <w:r w:rsidRPr="00E66352">
            <w:rPr>
              <w:rFonts w:ascii="Europa-Bold" w:hAnsi="Europa-Bold"/>
              <w:b/>
              <w:color w:val="231F20"/>
              <w:spacing w:val="-13"/>
              <w:sz w:val="18"/>
            </w:rPr>
            <w:t xml:space="preserve"> </w:t>
          </w:r>
          <w:r w:rsidRPr="00E66352">
            <w:rPr>
              <w:rFonts w:ascii="Europa-Bold" w:hAnsi="Europa-Bold"/>
              <w:b/>
              <w:color w:val="231F20"/>
              <w:sz w:val="18"/>
            </w:rPr>
            <w:t>835-6633</w:t>
          </w:r>
          <w:r w:rsidRPr="00E66352">
            <w:rPr>
              <w:rFonts w:ascii="Europa-Bold" w:hAnsi="Europa-Bold"/>
              <w:b/>
              <w:color w:val="231F20"/>
              <w:spacing w:val="33"/>
              <w:sz w:val="18"/>
            </w:rPr>
            <w:t xml:space="preserve"> </w:t>
          </w:r>
          <w:r w:rsidRPr="00E66352">
            <w:rPr>
              <w:rFonts w:ascii="Europa-Bold" w:hAnsi="Europa-Bold"/>
              <w:b/>
              <w:color w:val="231F20"/>
              <w:sz w:val="18"/>
            </w:rPr>
            <w:t>-</w:t>
          </w:r>
          <w:r w:rsidRPr="00E66352">
            <w:rPr>
              <w:rFonts w:ascii="Europa-Bold" w:hAnsi="Europa-Bold"/>
              <w:b/>
              <w:color w:val="231F20"/>
              <w:spacing w:val="33"/>
              <w:sz w:val="18"/>
            </w:rPr>
            <w:t xml:space="preserve"> </w:t>
          </w:r>
          <w:r w:rsidRPr="00E66352">
            <w:rPr>
              <w:rFonts w:ascii="Europa-Bold" w:hAnsi="Europa-Bold"/>
              <w:b/>
              <w:color w:val="231F20"/>
              <w:sz w:val="18"/>
            </w:rPr>
            <w:t>1</w:t>
          </w:r>
          <w:r w:rsidRPr="00E66352">
            <w:rPr>
              <w:rFonts w:ascii="Europa-Bold" w:hAnsi="Europa-Bold"/>
              <w:b/>
              <w:color w:val="231F20"/>
              <w:spacing w:val="-12"/>
              <w:sz w:val="18"/>
            </w:rPr>
            <w:t xml:space="preserve"> </w:t>
          </w:r>
          <w:r w:rsidRPr="00E66352">
            <w:rPr>
              <w:rFonts w:ascii="Europa-Bold" w:hAnsi="Europa-Bold"/>
              <w:b/>
              <w:color w:val="231F20"/>
              <w:sz w:val="18"/>
            </w:rPr>
            <w:t>877</w:t>
          </w:r>
          <w:r w:rsidRPr="00E66352">
            <w:rPr>
              <w:rFonts w:ascii="Europa-Bold" w:hAnsi="Europa-Bold"/>
              <w:b/>
              <w:color w:val="231F20"/>
              <w:spacing w:val="-12"/>
              <w:sz w:val="18"/>
            </w:rPr>
            <w:t xml:space="preserve"> </w:t>
          </w:r>
          <w:r w:rsidRPr="00E66352">
            <w:rPr>
              <w:rFonts w:ascii="Europa-Bold" w:hAnsi="Europa-Bold"/>
              <w:b/>
              <w:color w:val="231F20"/>
              <w:sz w:val="18"/>
            </w:rPr>
            <w:t>835-</w:t>
          </w:r>
          <w:r w:rsidRPr="00E66352">
            <w:rPr>
              <w:rFonts w:ascii="Europa-Bold" w:hAnsi="Europa-Bold"/>
              <w:b/>
              <w:color w:val="231F20"/>
              <w:spacing w:val="-4"/>
              <w:sz w:val="18"/>
            </w:rPr>
            <w:t>6633</w:t>
          </w:r>
        </w:p>
        <w:p w14:paraId="7AB36605" w14:textId="77777777" w:rsidR="00E66352" w:rsidRDefault="00E66352" w:rsidP="00E66352">
          <w:pPr>
            <w:pStyle w:val="Corpsdetexte"/>
            <w:spacing w:before="48"/>
            <w:ind w:left="118"/>
          </w:pPr>
          <w:r>
            <w:rPr>
              <w:noProof/>
            </w:rPr>
            <mc:AlternateContent>
              <mc:Choice Requires="wps">
                <w:drawing>
                  <wp:anchor distT="0" distB="0" distL="114300" distR="114300" simplePos="0" relativeHeight="251663360" behindDoc="0" locked="0" layoutInCell="1" allowOverlap="1" wp14:anchorId="067C883E" wp14:editId="72835AE8">
                    <wp:simplePos x="0" y="0"/>
                    <wp:positionH relativeFrom="page">
                      <wp:posOffset>5129530</wp:posOffset>
                    </wp:positionH>
                    <wp:positionV relativeFrom="paragraph">
                      <wp:posOffset>-113030</wp:posOffset>
                    </wp:positionV>
                    <wp:extent cx="0" cy="246380"/>
                    <wp:effectExtent l="5080" t="5715" r="13970" b="5080"/>
                    <wp:wrapNone/>
                    <wp:docPr id="100" name="Connecteur droit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652A" id="Connecteur droit 10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9pt,-8.9pt" to="40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HsKAIAAFAEAAAOAAAAZHJzL2Uyb0RvYy54bWysVE2P2jAQvVfqf7Byh3wQKESEVZVAL9sW&#10;abc/wNgOserYlm0IqOp/79ghaGkvVdWLY3tm3rx5M8766dIJdGbGciXLKJ0mEWKSKMrlsYy+ve4m&#10;ywhZhyXFQklWRldmo6fN+3frXhcsU60SlBkEINIWvS6j1jldxLElLeuwnSrNJBgbZTrs4GiOMTW4&#10;B/ROxFmSLOJeGaqNIsxauK0HY7QJ+E3DiPvaNJY5JMoIuLmwmrAe/Bpv1rg4GqxbTm408D+w6DCX&#10;kPQOVWOH0cnwP6A6ToyyqnFTorpYNQ0nLNQA1aTJb9W8tFizUAuIY/VdJvv/YMmX894gTqF3Cegj&#10;cQdNqpSUoBw7GUSN4g55GyjVa1tAQCX3xtdKLvJFPyvy3SKpqhbLIwuMX68aQFIfET+E+IPVkO/Q&#10;f1YUfPDJqSDbpTGdhwRB0CV053rvDrs4RIZLArdZvpgtA50YF2OcNtZ9YqpDflNGgkuvGy7w+dk6&#10;zwMXo4u/lmrHhQi9FxL1ZbSaZ/MQYJXg1Bu9mzXHQyUMOmOYnmyW7rIx74ObR66xbQe/YBrmyqiT&#10;pCFLyzDd3vYOczHsgZWQPhGUCDxvu2FufqyS1Xa5XeaTPFtsJ3lS15OPuyqfLHbph3k9q6uqTn96&#10;zmletJxSJj3tcYbT/O9m5Paahum7T/Fdn/gRPQgJZMdvIB167Ns6DMhB0evejL2HsQ3Otyfm38Xb&#10;M+zf/gg2vwAAAP//AwBQSwMEFAAGAAgAAAAhAD1ZVVDbAAAACgEAAA8AAABkcnMvZG93bnJldi54&#10;bWxMjzFPwzAQhXck/oN1SGytnQ6lCrlUFQghRhqGjm58xAnxOYrdJPx7XDHAdvfu6b3viv3iejHR&#10;GFrPCNlagSCuvWm5QfioXlY7ECFqNrr3TAjfFGBf3t4UOjd+5neajrERKYRDrhFsjEMuZagtOR3W&#10;fiBOt08/Oh3TOjbSjHpO4a6XG6W20umWU4PVAz1Zqr+OF4egD/PyWs+dPfnKbTsVnt+qqUO8v1sO&#10;jyAiLfHPDFf8hA5lYjr7C5sgeoSdekjoEWGVXYfk+FXOCJtMgSwL+f+F8gcAAP//AwBQSwECLQAU&#10;AAYACAAAACEAtoM4kv4AAADhAQAAEwAAAAAAAAAAAAAAAAAAAAAAW0NvbnRlbnRfVHlwZXNdLnht&#10;bFBLAQItABQABgAIAAAAIQA4/SH/1gAAAJQBAAALAAAAAAAAAAAAAAAAAC8BAABfcmVscy8ucmVs&#10;c1BLAQItABQABgAIAAAAIQCBuQHsKAIAAFAEAAAOAAAAAAAAAAAAAAAAAC4CAABkcnMvZTJvRG9j&#10;LnhtbFBLAQItABQABgAIAAAAIQA9WVVQ2wAAAAoBAAAPAAAAAAAAAAAAAAAAAIIEAABkcnMvZG93&#10;bnJldi54bWxQSwUGAAAAAAQABADzAAAAigUAAAAA&#10;" strokecolor="#231f20">
                    <w10:wrap anchorx="page"/>
                  </v:line>
                </w:pict>
              </mc:Fallback>
            </mc:AlternateContent>
          </w:r>
          <w:r>
            <w:rPr>
              <w:color w:val="231F20"/>
              <w:spacing w:val="-2"/>
            </w:rPr>
            <w:t>33,</w:t>
          </w:r>
          <w:r>
            <w:rPr>
              <w:color w:val="231F20"/>
              <w:spacing w:val="-8"/>
            </w:rPr>
            <w:t xml:space="preserve"> </w:t>
          </w:r>
          <w:r>
            <w:rPr>
              <w:color w:val="231F20"/>
              <w:spacing w:val="-2"/>
            </w:rPr>
            <w:t>rue</w:t>
          </w:r>
          <w:r>
            <w:rPr>
              <w:color w:val="231F20"/>
              <w:spacing w:val="-8"/>
            </w:rPr>
            <w:t xml:space="preserve"> </w:t>
          </w:r>
          <w:r>
            <w:rPr>
              <w:color w:val="231F20"/>
              <w:spacing w:val="-2"/>
            </w:rPr>
            <w:t>Carrier,</w:t>
          </w:r>
          <w:r>
            <w:rPr>
              <w:color w:val="231F20"/>
              <w:spacing w:val="-8"/>
            </w:rPr>
            <w:t xml:space="preserve"> </w:t>
          </w:r>
          <w:r>
            <w:rPr>
              <w:color w:val="231F20"/>
              <w:spacing w:val="-2"/>
            </w:rPr>
            <w:t>Lévis,</w:t>
          </w:r>
          <w:r>
            <w:rPr>
              <w:color w:val="231F20"/>
              <w:spacing w:val="-8"/>
            </w:rPr>
            <w:t xml:space="preserve"> </w:t>
          </w:r>
          <w:r>
            <w:rPr>
              <w:color w:val="231F20"/>
              <w:spacing w:val="-2"/>
            </w:rPr>
            <w:t>Québec</w:t>
          </w:r>
          <w:r>
            <w:rPr>
              <w:color w:val="231F20"/>
              <w:spacing w:val="32"/>
            </w:rPr>
            <w:t xml:space="preserve"> </w:t>
          </w:r>
          <w:r>
            <w:rPr>
              <w:color w:val="231F20"/>
              <w:spacing w:val="-2"/>
            </w:rPr>
            <w:t>G6V</w:t>
          </w:r>
          <w:r>
            <w:rPr>
              <w:color w:val="231F20"/>
              <w:spacing w:val="-7"/>
            </w:rPr>
            <w:t xml:space="preserve"> </w:t>
          </w:r>
          <w:r>
            <w:rPr>
              <w:color w:val="231F20"/>
              <w:spacing w:val="-5"/>
            </w:rPr>
            <w:t>5N5</w:t>
          </w:r>
        </w:p>
      </w:tc>
    </w:tr>
  </w:tbl>
  <w:p w14:paraId="5BF4D027" w14:textId="77777777" w:rsidR="00E66352" w:rsidRDefault="00E663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3796" w14:textId="77777777" w:rsidR="004E2EB5" w:rsidRDefault="004E2EB5" w:rsidP="004E2EB5">
      <w:pPr>
        <w:spacing w:after="0" w:line="240" w:lineRule="auto"/>
      </w:pPr>
      <w:r>
        <w:separator/>
      </w:r>
    </w:p>
  </w:footnote>
  <w:footnote w:type="continuationSeparator" w:id="0">
    <w:p w14:paraId="063A8C37" w14:textId="77777777" w:rsidR="004E2EB5" w:rsidRDefault="004E2EB5" w:rsidP="004E2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5EB1" w14:textId="77777777" w:rsidR="004E2EB5" w:rsidRDefault="004E2EB5">
    <w:pPr>
      <w:pStyle w:val="En-tte"/>
      <w:rPr>
        <w:noProof/>
      </w:rPr>
    </w:pPr>
    <w:r>
      <w:rPr>
        <w:noProof/>
      </w:rPr>
      <w:drawing>
        <wp:inline distT="0" distB="0" distL="0" distR="0" wp14:anchorId="28D5260F" wp14:editId="3D505766">
          <wp:extent cx="1568506" cy="1341120"/>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Espace_Finances_Coul_avec_Enonce.png"/>
                  <pic:cNvPicPr/>
                </pic:nvPicPr>
                <pic:blipFill rotWithShape="1">
                  <a:blip r:embed="rId1">
                    <a:extLst>
                      <a:ext uri="{28A0092B-C50C-407E-A947-70E740481C1C}">
                        <a14:useLocalDpi xmlns:a14="http://schemas.microsoft.com/office/drawing/2010/main" val="0"/>
                      </a:ext>
                    </a:extLst>
                  </a:blip>
                  <a:srcRect l="14810" t="16202" r="13596" b="15491"/>
                  <a:stretch/>
                </pic:blipFill>
                <pic:spPr bwMode="auto">
                  <a:xfrm>
                    <a:off x="0" y="0"/>
                    <a:ext cx="1604904" cy="137224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0" distR="0" simplePos="0" relativeHeight="251659264" behindDoc="0" locked="0" layoutInCell="1" allowOverlap="1" wp14:anchorId="718AEC62" wp14:editId="39267CCE">
          <wp:simplePos x="0" y="0"/>
          <wp:positionH relativeFrom="margin">
            <wp:align>right</wp:align>
          </wp:positionH>
          <wp:positionV relativeFrom="page">
            <wp:posOffset>-635</wp:posOffset>
          </wp:positionV>
          <wp:extent cx="2898507" cy="1890712"/>
          <wp:effectExtent l="0" t="0" r="0" b="0"/>
          <wp:wrapNone/>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 cstate="print"/>
                  <a:stretch>
                    <a:fillRect/>
                  </a:stretch>
                </pic:blipFill>
                <pic:spPr>
                  <a:xfrm>
                    <a:off x="0" y="0"/>
                    <a:ext cx="2898507" cy="1890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4AD"/>
    <w:multiLevelType w:val="hybridMultilevel"/>
    <w:tmpl w:val="BDAE58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A5332E"/>
    <w:multiLevelType w:val="hybridMultilevel"/>
    <w:tmpl w:val="65525AE4"/>
    <w:lvl w:ilvl="0" w:tplc="59546C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84523004">
    <w:abstractNumId w:val="1"/>
  </w:num>
  <w:num w:numId="2" w16cid:durableId="13298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B5"/>
    <w:rsid w:val="00077098"/>
    <w:rsid w:val="00305F6C"/>
    <w:rsid w:val="00340C1F"/>
    <w:rsid w:val="00474047"/>
    <w:rsid w:val="004E2EB5"/>
    <w:rsid w:val="00A11213"/>
    <w:rsid w:val="00A37829"/>
    <w:rsid w:val="00D636B2"/>
    <w:rsid w:val="00D77EC1"/>
    <w:rsid w:val="00E663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86B35"/>
  <w15:chartTrackingRefBased/>
  <w15:docId w15:val="{F43FAE29-8266-4BD5-A1B2-9C578AD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EB5"/>
    <w:pPr>
      <w:tabs>
        <w:tab w:val="center" w:pos="4320"/>
        <w:tab w:val="right" w:pos="8640"/>
      </w:tabs>
      <w:spacing w:after="0" w:line="240" w:lineRule="auto"/>
    </w:pPr>
  </w:style>
  <w:style w:type="character" w:customStyle="1" w:styleId="En-tteCar">
    <w:name w:val="En-tête Car"/>
    <w:basedOn w:val="Policepardfaut"/>
    <w:link w:val="En-tte"/>
    <w:uiPriority w:val="99"/>
    <w:rsid w:val="004E2EB5"/>
  </w:style>
  <w:style w:type="paragraph" w:styleId="Pieddepage">
    <w:name w:val="footer"/>
    <w:basedOn w:val="Normal"/>
    <w:link w:val="PieddepageCar"/>
    <w:uiPriority w:val="99"/>
    <w:unhideWhenUsed/>
    <w:rsid w:val="004E2EB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2EB5"/>
  </w:style>
  <w:style w:type="table" w:styleId="Grilledutableau">
    <w:name w:val="Table Grid"/>
    <w:basedOn w:val="TableauNormal"/>
    <w:uiPriority w:val="39"/>
    <w:rsid w:val="00E6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0"/>
    <w:qFormat/>
    <w:rsid w:val="00E66352"/>
    <w:pPr>
      <w:widowControl w:val="0"/>
      <w:autoSpaceDE w:val="0"/>
      <w:autoSpaceDN w:val="0"/>
      <w:spacing w:before="1" w:after="0" w:line="240" w:lineRule="auto"/>
      <w:ind w:left="830"/>
    </w:pPr>
    <w:rPr>
      <w:rFonts w:ascii="Europa-Bold" w:eastAsia="Europa-Bold" w:hAnsi="Europa-Bold" w:cs="Europa-Bold"/>
      <w:b/>
      <w:bCs/>
      <w:sz w:val="25"/>
      <w:szCs w:val="25"/>
      <w:lang w:val="fr-FR"/>
    </w:rPr>
  </w:style>
  <w:style w:type="character" w:customStyle="1" w:styleId="TitreCar">
    <w:name w:val="Titre Car"/>
    <w:basedOn w:val="Policepardfaut"/>
    <w:link w:val="Titre"/>
    <w:uiPriority w:val="10"/>
    <w:rsid w:val="00E66352"/>
    <w:rPr>
      <w:rFonts w:ascii="Europa-Bold" w:eastAsia="Europa-Bold" w:hAnsi="Europa-Bold" w:cs="Europa-Bold"/>
      <w:b/>
      <w:bCs/>
      <w:sz w:val="25"/>
      <w:szCs w:val="25"/>
      <w:lang w:val="fr-FR"/>
    </w:rPr>
  </w:style>
  <w:style w:type="paragraph" w:styleId="Corpsdetexte">
    <w:name w:val="Body Text"/>
    <w:basedOn w:val="Normal"/>
    <w:link w:val="CorpsdetexteCar"/>
    <w:uiPriority w:val="1"/>
    <w:qFormat/>
    <w:rsid w:val="00E66352"/>
    <w:pPr>
      <w:widowControl w:val="0"/>
      <w:autoSpaceDE w:val="0"/>
      <w:autoSpaceDN w:val="0"/>
      <w:spacing w:after="0" w:line="240" w:lineRule="auto"/>
    </w:pPr>
    <w:rPr>
      <w:rFonts w:ascii="Circe Slab A" w:eastAsia="Circe Slab A" w:hAnsi="Circe Slab A" w:cs="Circe Slab A"/>
      <w:sz w:val="18"/>
      <w:szCs w:val="18"/>
      <w:lang w:val="fr-FR"/>
    </w:rPr>
  </w:style>
  <w:style w:type="character" w:customStyle="1" w:styleId="CorpsdetexteCar">
    <w:name w:val="Corps de texte Car"/>
    <w:basedOn w:val="Policepardfaut"/>
    <w:link w:val="Corpsdetexte"/>
    <w:uiPriority w:val="1"/>
    <w:rsid w:val="00E66352"/>
    <w:rPr>
      <w:rFonts w:ascii="Circe Slab A" w:eastAsia="Circe Slab A" w:hAnsi="Circe Slab A" w:cs="Circe Slab A"/>
      <w:sz w:val="18"/>
      <w:szCs w:val="18"/>
      <w:lang w:val="fr-FR"/>
    </w:rPr>
  </w:style>
  <w:style w:type="character" w:styleId="Lienhypertexte">
    <w:name w:val="Hyperlink"/>
    <w:basedOn w:val="Policepardfaut"/>
    <w:uiPriority w:val="99"/>
    <w:unhideWhenUsed/>
    <w:rsid w:val="00D636B2"/>
    <w:rPr>
      <w:color w:val="0563C1" w:themeColor="hyperlink"/>
      <w:u w:val="single"/>
    </w:rPr>
  </w:style>
  <w:style w:type="paragraph" w:styleId="Paragraphedeliste">
    <w:name w:val="List Paragraph"/>
    <w:basedOn w:val="Normal"/>
    <w:uiPriority w:val="34"/>
    <w:qFormat/>
    <w:rsid w:val="00D636B2"/>
    <w:pPr>
      <w:ind w:left="720"/>
      <w:contextualSpacing/>
    </w:pPr>
  </w:style>
  <w:style w:type="character" w:styleId="Lienhypertextesuivivisit">
    <w:name w:val="FollowedHyperlink"/>
    <w:basedOn w:val="Policepardfaut"/>
    <w:uiPriority w:val="99"/>
    <w:semiHidden/>
    <w:unhideWhenUsed/>
    <w:rsid w:val="00D63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4748">
      <w:bodyDiv w:val="1"/>
      <w:marLeft w:val="0"/>
      <w:marRight w:val="0"/>
      <w:marTop w:val="0"/>
      <w:marBottom w:val="0"/>
      <w:divBdr>
        <w:top w:val="none" w:sz="0" w:space="0" w:color="auto"/>
        <w:left w:val="none" w:sz="0" w:space="0" w:color="auto"/>
        <w:bottom w:val="none" w:sz="0" w:space="0" w:color="auto"/>
        <w:right w:val="none" w:sz="0" w:space="0" w:color="auto"/>
      </w:divBdr>
    </w:div>
    <w:div w:id="13729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ortier@espacefinanc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4CC8-B69B-4601-B5C8-A0B9B13B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ACEF Rive sud</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Dufour</dc:creator>
  <cp:keywords/>
  <dc:description/>
  <cp:lastModifiedBy>Marianne Ouellet</cp:lastModifiedBy>
  <cp:revision>2</cp:revision>
  <dcterms:created xsi:type="dcterms:W3CDTF">2024-01-17T18:39:00Z</dcterms:created>
  <dcterms:modified xsi:type="dcterms:W3CDTF">2024-01-17T18:39:00Z</dcterms:modified>
</cp:coreProperties>
</file>